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C8" w:rsidRPr="009F5ABE" w:rsidRDefault="00C523C8" w:rsidP="00C523C8">
      <w:pPr>
        <w:pStyle w:val="a3"/>
        <w:ind w:left="3540" w:firstLine="708"/>
        <w:jc w:val="left"/>
        <w:rPr>
          <w:b w:val="0"/>
          <w:bCs w:val="0"/>
          <w:sz w:val="18"/>
          <w:szCs w:val="18"/>
        </w:rPr>
      </w:pPr>
      <w:r w:rsidRPr="0048442A">
        <w:rPr>
          <w:lang w:val="ru-RU"/>
        </w:rPr>
        <w:t xml:space="preserve">     </w:t>
      </w:r>
      <w:r>
        <w:rPr>
          <w:noProof/>
          <w:lang w:eastAsia="uk-UA"/>
        </w:rPr>
        <w:drawing>
          <wp:inline distT="0" distB="0" distL="0" distR="0">
            <wp:extent cx="419100" cy="571500"/>
            <wp:effectExtent l="19050" t="0" r="0" b="0"/>
            <wp:docPr id="1" name="Рисунок 1" descr="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C8" w:rsidRPr="007A4EDC" w:rsidRDefault="00C523C8" w:rsidP="00C523C8">
      <w:pPr>
        <w:pStyle w:val="a3"/>
        <w:ind w:left="3540" w:firstLine="708"/>
        <w:jc w:val="left"/>
        <w:rPr>
          <w:sz w:val="28"/>
          <w:szCs w:val="28"/>
        </w:rPr>
      </w:pPr>
      <w:r w:rsidRPr="007A4EDC">
        <w:rPr>
          <w:sz w:val="28"/>
          <w:szCs w:val="28"/>
        </w:rPr>
        <w:t>УКРАЇНА</w:t>
      </w:r>
    </w:p>
    <w:p w:rsidR="00C523C8" w:rsidRPr="009F5ABE" w:rsidRDefault="00C523C8" w:rsidP="00C523C8">
      <w:pPr>
        <w:pStyle w:val="a3"/>
        <w:rPr>
          <w:bCs w:val="0"/>
          <w:sz w:val="20"/>
          <w:szCs w:val="20"/>
        </w:rPr>
      </w:pPr>
      <w:r w:rsidRPr="009F5ABE">
        <w:rPr>
          <w:bCs w:val="0"/>
          <w:sz w:val="20"/>
          <w:szCs w:val="20"/>
        </w:rPr>
        <w:t>КОМУНАЛЬНЕ ПІДПРИЄМСТВО «ВИРОБНИЧЕ УПРАВЛІННЯ ЖИТЛОВО-КОМУНАЛЬНОГО  ГОСПОДАРСТВА»</w:t>
      </w:r>
    </w:p>
    <w:p w:rsidR="00C523C8" w:rsidRDefault="00C523C8" w:rsidP="00C523C8">
      <w:pPr>
        <w:pStyle w:val="a3"/>
        <w:rPr>
          <w:bCs w:val="0"/>
          <w:sz w:val="20"/>
          <w:szCs w:val="20"/>
        </w:rPr>
      </w:pPr>
      <w:r w:rsidRPr="009F5ABE">
        <w:rPr>
          <w:bCs w:val="0"/>
          <w:sz w:val="20"/>
          <w:szCs w:val="20"/>
        </w:rPr>
        <w:t xml:space="preserve">ПЕРЕЯСЛАВ-ХМЕЛЬНИЦЬКОЇ  МІСЬКОЇ </w:t>
      </w:r>
      <w:r>
        <w:rPr>
          <w:bCs w:val="0"/>
          <w:sz w:val="20"/>
          <w:szCs w:val="20"/>
        </w:rPr>
        <w:t xml:space="preserve"> </w:t>
      </w:r>
      <w:r w:rsidRPr="009F5ABE">
        <w:rPr>
          <w:bCs w:val="0"/>
          <w:sz w:val="20"/>
          <w:szCs w:val="20"/>
        </w:rPr>
        <w:t>РАД</w:t>
      </w:r>
      <w:r>
        <w:rPr>
          <w:bCs w:val="0"/>
          <w:sz w:val="20"/>
          <w:szCs w:val="20"/>
        </w:rPr>
        <w:t>И</w:t>
      </w:r>
      <w:r w:rsidRPr="009F5ABE">
        <w:rPr>
          <w:bCs w:val="0"/>
          <w:sz w:val="20"/>
          <w:szCs w:val="20"/>
        </w:rPr>
        <w:t xml:space="preserve"> КИЇВСЬКОЇ ОБЛАСТІ»</w:t>
      </w:r>
    </w:p>
    <w:p w:rsidR="00C523C8" w:rsidRPr="009F5ABE" w:rsidRDefault="00C523C8" w:rsidP="00C523C8">
      <w:pPr>
        <w:pStyle w:val="a3"/>
        <w:rPr>
          <w:bCs w:val="0"/>
          <w:sz w:val="20"/>
          <w:szCs w:val="20"/>
        </w:rPr>
      </w:pPr>
    </w:p>
    <w:tbl>
      <w:tblPr>
        <w:tblW w:w="9657" w:type="dxa"/>
        <w:tblLook w:val="0000"/>
      </w:tblPr>
      <w:tblGrid>
        <w:gridCol w:w="5292"/>
        <w:gridCol w:w="4365"/>
      </w:tblGrid>
      <w:tr w:rsidR="00C523C8" w:rsidRPr="009F5ABE" w:rsidTr="00F305A9">
        <w:trPr>
          <w:trHeight w:val="1200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8" w:rsidRPr="00C523C8" w:rsidRDefault="00C523C8" w:rsidP="00F305A9">
            <w:pPr>
              <w:pStyle w:val="a3"/>
              <w:rPr>
                <w:bCs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8400, м"/>
              </w:smartTagPr>
              <w:r w:rsidRPr="00C523C8">
                <w:rPr>
                  <w:bCs w:val="0"/>
                  <w:sz w:val="20"/>
                  <w:szCs w:val="20"/>
                </w:rPr>
                <w:t xml:space="preserve">08400, </w:t>
              </w:r>
              <w:proofErr w:type="spellStart"/>
              <w:r w:rsidRPr="00C523C8">
                <w:rPr>
                  <w:bCs w:val="0"/>
                  <w:sz w:val="20"/>
                  <w:szCs w:val="20"/>
                </w:rPr>
                <w:t>м</w:t>
              </w:r>
            </w:smartTag>
            <w:r w:rsidRPr="00C523C8">
              <w:rPr>
                <w:bCs w:val="0"/>
                <w:sz w:val="20"/>
                <w:szCs w:val="20"/>
              </w:rPr>
              <w:t>.Переяслав-Хмельницький</w:t>
            </w:r>
            <w:proofErr w:type="spellEnd"/>
            <w:r w:rsidRPr="00C523C8"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C523C8">
              <w:rPr>
                <w:bCs w:val="0"/>
                <w:sz w:val="20"/>
                <w:szCs w:val="20"/>
              </w:rPr>
              <w:t>вул.Гімназійна</w:t>
            </w:r>
            <w:proofErr w:type="spellEnd"/>
            <w:r w:rsidRPr="00C523C8">
              <w:rPr>
                <w:bCs w:val="0"/>
                <w:sz w:val="20"/>
                <w:szCs w:val="20"/>
              </w:rPr>
              <w:t>, 35</w:t>
            </w:r>
          </w:p>
          <w:p w:rsidR="00C523C8" w:rsidRPr="00C523C8" w:rsidRDefault="00C523C8" w:rsidP="00F30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23C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розрахунковий рахунок №26006053120670 в Київського ГРУ </w:t>
            </w:r>
            <w:proofErr w:type="spellStart"/>
            <w:r w:rsidRPr="00C523C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„ПриватБанк”</w:t>
            </w:r>
            <w:proofErr w:type="spellEnd"/>
          </w:p>
          <w:p w:rsidR="00C523C8" w:rsidRPr="00C523C8" w:rsidRDefault="00C523C8" w:rsidP="00F30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C523C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м.Переяслава-Хмельницького</w:t>
            </w:r>
            <w:proofErr w:type="spellEnd"/>
          </w:p>
          <w:p w:rsidR="00C523C8" w:rsidRPr="00C523C8" w:rsidRDefault="00C523C8" w:rsidP="00F305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523C8">
              <w:rPr>
                <w:rFonts w:ascii="Times New Roman" w:hAnsi="Times New Roman" w:cs="Times New Roman"/>
                <w:b/>
                <w:sz w:val="20"/>
                <w:szCs w:val="20"/>
              </w:rPr>
              <w:t>МФО 32</w:t>
            </w:r>
            <w:r w:rsidRPr="00C523C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1842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8" w:rsidRPr="00C523C8" w:rsidRDefault="00C523C8" w:rsidP="00F305A9">
            <w:pPr>
              <w:pStyle w:val="a3"/>
              <w:rPr>
                <w:bCs w:val="0"/>
                <w:spacing w:val="20"/>
                <w:sz w:val="20"/>
                <w:szCs w:val="20"/>
              </w:rPr>
            </w:pPr>
            <w:r w:rsidRPr="00C523C8">
              <w:rPr>
                <w:bCs w:val="0"/>
                <w:sz w:val="20"/>
                <w:szCs w:val="20"/>
              </w:rPr>
              <w:t xml:space="preserve">Телефони:    </w:t>
            </w:r>
            <w:r w:rsidRPr="00C523C8">
              <w:rPr>
                <w:bCs w:val="0"/>
                <w:spacing w:val="20"/>
                <w:sz w:val="20"/>
                <w:szCs w:val="20"/>
              </w:rPr>
              <w:t>5-13-71</w:t>
            </w:r>
          </w:p>
          <w:p w:rsidR="00C523C8" w:rsidRPr="00C523C8" w:rsidRDefault="00C523C8" w:rsidP="00F305A9">
            <w:pPr>
              <w:pStyle w:val="a3"/>
              <w:rPr>
                <w:bCs w:val="0"/>
                <w:spacing w:val="20"/>
                <w:sz w:val="20"/>
                <w:szCs w:val="20"/>
              </w:rPr>
            </w:pPr>
            <w:r w:rsidRPr="00C523C8">
              <w:rPr>
                <w:bCs w:val="0"/>
                <w:spacing w:val="20"/>
                <w:sz w:val="20"/>
                <w:szCs w:val="20"/>
              </w:rPr>
              <w:t>5-38-73</w:t>
            </w:r>
          </w:p>
          <w:p w:rsidR="00C523C8" w:rsidRPr="00C523C8" w:rsidRDefault="00C523C8" w:rsidP="00F305A9">
            <w:pPr>
              <w:pStyle w:val="a3"/>
              <w:rPr>
                <w:bCs w:val="0"/>
                <w:spacing w:val="20"/>
                <w:sz w:val="20"/>
                <w:szCs w:val="20"/>
              </w:rPr>
            </w:pPr>
            <w:r w:rsidRPr="00C523C8">
              <w:rPr>
                <w:bCs w:val="0"/>
                <w:spacing w:val="20"/>
                <w:sz w:val="20"/>
                <w:szCs w:val="20"/>
              </w:rPr>
              <w:t>5-53-49</w:t>
            </w:r>
          </w:p>
          <w:p w:rsidR="00C523C8" w:rsidRPr="00C523C8" w:rsidRDefault="00C523C8" w:rsidP="00F305A9">
            <w:pPr>
              <w:pStyle w:val="a3"/>
              <w:rPr>
                <w:bCs w:val="0"/>
                <w:sz w:val="20"/>
                <w:szCs w:val="20"/>
              </w:rPr>
            </w:pPr>
            <w:r w:rsidRPr="00C523C8">
              <w:rPr>
                <w:bCs w:val="0"/>
                <w:spacing w:val="20"/>
                <w:sz w:val="20"/>
                <w:szCs w:val="20"/>
              </w:rPr>
              <w:t>5-18-17</w:t>
            </w:r>
          </w:p>
        </w:tc>
      </w:tr>
    </w:tbl>
    <w:p w:rsidR="00C523C8" w:rsidRDefault="00C523C8" w:rsidP="00C523C8">
      <w:pPr>
        <w:pStyle w:val="a3"/>
        <w:tabs>
          <w:tab w:val="left" w:pos="5220"/>
        </w:tabs>
        <w:jc w:val="left"/>
      </w:pPr>
      <w:r w:rsidRPr="009F5ABE">
        <w:t>_____________________________________________________________________________</w:t>
      </w:r>
    </w:p>
    <w:p w:rsidR="00C523C8" w:rsidRDefault="00C523C8" w:rsidP="00C523C8">
      <w:pPr>
        <w:pStyle w:val="a3"/>
        <w:tabs>
          <w:tab w:val="left" w:pos="5220"/>
        </w:tabs>
        <w:jc w:val="left"/>
      </w:pPr>
      <w:r w:rsidRPr="009F5ABE">
        <w:t>__ «____»___________ 201</w:t>
      </w:r>
      <w:r>
        <w:t>7</w:t>
      </w:r>
      <w:r w:rsidRPr="009F5ABE">
        <w:t xml:space="preserve"> року</w:t>
      </w:r>
      <w:r>
        <w:tab/>
        <w:t xml:space="preserve">                      </w:t>
      </w:r>
    </w:p>
    <w:p w:rsidR="00C523C8" w:rsidRDefault="00C523C8" w:rsidP="00C523C8">
      <w:pPr>
        <w:pStyle w:val="a3"/>
        <w:tabs>
          <w:tab w:val="left" w:pos="5220"/>
        </w:tabs>
        <w:jc w:val="left"/>
        <w:rPr>
          <w:sz w:val="28"/>
          <w:szCs w:val="28"/>
        </w:rPr>
      </w:pPr>
    </w:p>
    <w:p w:rsidR="00C523C8" w:rsidRPr="00C523C8" w:rsidRDefault="00C523C8" w:rsidP="00C523C8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Роботи в мережах вуличного освітлення в 2016 році виконувались згідно заяв мешканців міста по вул. Б.Хмельницького,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Андрющенка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>, Я.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Потапенка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Київська, Солонці, Соснова, Лісова, Лозова, Грушевського, Борисоглібська площа, Центральний парк міста, Лагерна, О.Вишні, Борисоглібська, Соборна,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Святилівська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Тарасівська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>, Свободи, Рибальська, Гетьмана Івана Сулими, пров. Г.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Новохатька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Ломоносова,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Києвобрамська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Можайська, Музейна, пров.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Трубіжний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Каплунова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Шевченка, В.Авраменка, Набережна,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Золотонішське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 шосе, Черняхівського,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Комарівська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В.Підвальна, пров. Інтернаціональний,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Оболонна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П.Дорошенка, Мічуріна, Ціолковського, Переяславська,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Новокиївське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 шосе, Нова Поляна, Коцюбинського, Ярмаркова,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Белінського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Г.Дніпра,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Анучина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Петропавлівська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Айвазовського, пров. Семінарський, Колгоспна, Героїв Великої Вітчизняної війни, Дніпровська, Меморіал Слави, Гімназійна,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Тумакшина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Вишнева, пров. Котляревського, Київська, Миру, Богуна, Сікорського, пров. Літописний,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Св.Єфрема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Ювілейна, Лаврова,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Свєрдлова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Маяковського, Гостинна,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Чкалова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Островського, Ломана, Гагаріна, Комарова, Шкільна, Делегатська, Пугачова,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Пєсклова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Балаяна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Чехова,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Андрушівська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Каштанна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Космонавтів,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Алєксєєва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, Т.Федоровича, Барвиста, М.Костомарова, Громова, Богомольця, міст через Трубіж в районі «Валька», міст через Альту в районі мікрорайону Спаська Левада.  </w:t>
      </w:r>
    </w:p>
    <w:p w:rsidR="00C523C8" w:rsidRPr="00C523C8" w:rsidRDefault="00C523C8" w:rsidP="00C523C8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23C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Освітлення вулиць Осіння, Сонячна відсутнє так як на цих вулицях немає мережі вуличного освітлення. </w:t>
      </w:r>
      <w:proofErr w:type="spellStart"/>
      <w:r w:rsidRPr="00C523C8">
        <w:rPr>
          <w:rFonts w:ascii="Times New Roman" w:hAnsi="Times New Roman" w:cs="Times New Roman"/>
          <w:sz w:val="24"/>
          <w:szCs w:val="24"/>
          <w:lang w:val="uk-UA"/>
        </w:rPr>
        <w:t>Стогніївський</w:t>
      </w:r>
      <w:proofErr w:type="spellEnd"/>
      <w:r w:rsidRPr="00C523C8">
        <w:rPr>
          <w:rFonts w:ascii="Times New Roman" w:hAnsi="Times New Roman" w:cs="Times New Roman"/>
          <w:sz w:val="24"/>
          <w:szCs w:val="24"/>
          <w:lang w:val="uk-UA"/>
        </w:rPr>
        <w:t xml:space="preserve"> шлях не освітлюється через викрадення проводів вуличного освітлення (даним питанням займаються правоохоронні органи).</w:t>
      </w:r>
    </w:p>
    <w:p w:rsidR="00C523C8" w:rsidRPr="00C523C8" w:rsidRDefault="00C523C8" w:rsidP="00C523C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23C8">
        <w:rPr>
          <w:rFonts w:ascii="Times New Roman" w:hAnsi="Times New Roman" w:cs="Times New Roman"/>
          <w:sz w:val="24"/>
          <w:szCs w:val="24"/>
          <w:lang w:val="uk-UA"/>
        </w:rPr>
        <w:t>По вулицях Орлова, Літописна, Небесної сотні, Героїв Дніпра, Ленінградська, Сікорського вуличне освітлення планується відновити в березні – червні цього року.</w:t>
      </w:r>
    </w:p>
    <w:p w:rsidR="00C523C8" w:rsidRPr="00C523C8" w:rsidRDefault="00C523C8" w:rsidP="00C523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23C8" w:rsidRPr="00C523C8" w:rsidRDefault="00C523C8" w:rsidP="00C523C8">
      <w:pPr>
        <w:tabs>
          <w:tab w:val="left" w:pos="135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523C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523C8">
        <w:rPr>
          <w:rFonts w:ascii="Times New Roman" w:hAnsi="Times New Roman" w:cs="Times New Roman"/>
          <w:sz w:val="24"/>
          <w:szCs w:val="24"/>
          <w:lang w:val="uk-UA"/>
        </w:rPr>
        <w:t>НАЧАЛЬНИК                                       О.М.СЛЮСАР</w:t>
      </w:r>
    </w:p>
    <w:p w:rsidR="00C523C8" w:rsidRPr="00C523C8" w:rsidRDefault="00C523C8" w:rsidP="00C523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F7639" w:rsidRDefault="00AF7639"/>
    <w:sectPr w:rsidR="00AF7639" w:rsidSect="00C523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23C8"/>
    <w:rsid w:val="00347089"/>
    <w:rsid w:val="00AF7639"/>
    <w:rsid w:val="00C0186C"/>
    <w:rsid w:val="00C5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3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C523C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5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832</Characters>
  <Application>Microsoft Office Word</Application>
  <DocSecurity>0</DocSecurity>
  <Lines>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dcterms:created xsi:type="dcterms:W3CDTF">2017-01-26T09:18:00Z</dcterms:created>
  <dcterms:modified xsi:type="dcterms:W3CDTF">2017-01-26T09:18:00Z</dcterms:modified>
</cp:coreProperties>
</file>